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AD21" w14:textId="77777777" w:rsidR="00407567" w:rsidRDefault="00B3325B">
      <w:pPr>
        <w:spacing w:after="0"/>
        <w:jc w:val="center"/>
        <w:rPr>
          <w:rFonts w:ascii="Arial" w:eastAsia="Arial" w:hAnsi="Arial" w:cs="Arial"/>
        </w:rPr>
      </w:pPr>
      <w:r>
        <w:rPr>
          <w:rFonts w:ascii="Arial" w:eastAsia="Arial" w:hAnsi="Arial" w:cs="Arial"/>
        </w:rPr>
        <w:t xml:space="preserve">       </w:t>
      </w:r>
    </w:p>
    <w:p w14:paraId="4B56B011" w14:textId="77777777" w:rsidR="00407567" w:rsidRDefault="00407567">
      <w:pPr>
        <w:spacing w:after="0"/>
        <w:rPr>
          <w:rFonts w:ascii="Arial" w:eastAsia="Arial" w:hAnsi="Arial" w:cs="Arial"/>
          <w:highlight w:val="yellow"/>
        </w:rPr>
      </w:pPr>
    </w:p>
    <w:p w14:paraId="57AD574A" w14:textId="77777777" w:rsidR="00407567" w:rsidRDefault="00407567">
      <w:pPr>
        <w:spacing w:after="0"/>
        <w:rPr>
          <w:rFonts w:ascii="Arial" w:eastAsia="Arial" w:hAnsi="Arial" w:cs="Arial"/>
        </w:rPr>
      </w:pPr>
    </w:p>
    <w:p w14:paraId="2FFA86ED" w14:textId="77777777" w:rsidR="00407567" w:rsidRDefault="00407567">
      <w:pPr>
        <w:spacing w:after="0"/>
        <w:rPr>
          <w:rFonts w:ascii="Arial" w:eastAsia="Arial" w:hAnsi="Arial" w:cs="Arial"/>
        </w:rPr>
      </w:pPr>
    </w:p>
    <w:p w14:paraId="05A1713E" w14:textId="77777777" w:rsidR="00407567" w:rsidRPr="00366476" w:rsidRDefault="00407567">
      <w:pPr>
        <w:spacing w:after="0"/>
        <w:rPr>
          <w:rFonts w:ascii="Arial" w:eastAsia="Arial" w:hAnsi="Arial" w:cs="Arial"/>
          <w:sz w:val="22"/>
          <w:szCs w:val="22"/>
        </w:rPr>
      </w:pPr>
      <w:bookmarkStart w:id="0" w:name="_GoBack"/>
      <w:bookmarkEnd w:id="0"/>
    </w:p>
    <w:p w14:paraId="1D81F81F" w14:textId="77777777" w:rsidR="00407567" w:rsidRPr="00366476" w:rsidRDefault="00407567">
      <w:pPr>
        <w:spacing w:after="0"/>
        <w:rPr>
          <w:rFonts w:ascii="Arial" w:eastAsia="Arial" w:hAnsi="Arial" w:cs="Arial"/>
          <w:sz w:val="22"/>
          <w:szCs w:val="22"/>
        </w:rPr>
      </w:pPr>
    </w:p>
    <w:p w14:paraId="1E187144" w14:textId="77777777" w:rsidR="00407567" w:rsidRPr="00366476" w:rsidRDefault="00B3325B">
      <w:pPr>
        <w:spacing w:after="0"/>
        <w:rPr>
          <w:rFonts w:ascii="Arial" w:eastAsia="Arial" w:hAnsi="Arial" w:cs="Arial"/>
          <w:sz w:val="22"/>
          <w:szCs w:val="22"/>
        </w:rPr>
      </w:pPr>
      <w:r w:rsidRPr="00366476">
        <w:rPr>
          <w:rFonts w:ascii="Arial" w:eastAsia="Arial" w:hAnsi="Arial" w:cs="Arial"/>
          <w:sz w:val="22"/>
          <w:szCs w:val="22"/>
        </w:rPr>
        <w:t>DATE, 2018</w:t>
      </w:r>
    </w:p>
    <w:p w14:paraId="2ABDF36E" w14:textId="77777777" w:rsidR="00407567" w:rsidRPr="00366476" w:rsidRDefault="00407567">
      <w:pPr>
        <w:spacing w:after="0"/>
        <w:rPr>
          <w:rFonts w:ascii="Arial" w:eastAsia="Arial" w:hAnsi="Arial" w:cs="Arial"/>
          <w:sz w:val="22"/>
          <w:szCs w:val="22"/>
        </w:rPr>
      </w:pPr>
    </w:p>
    <w:p w14:paraId="54307F81" w14:textId="77777777" w:rsidR="00407567" w:rsidRPr="00366476" w:rsidRDefault="00B3325B">
      <w:pPr>
        <w:spacing w:after="0"/>
        <w:rPr>
          <w:rFonts w:ascii="Arial" w:eastAsia="Arial" w:hAnsi="Arial" w:cs="Arial"/>
          <w:sz w:val="22"/>
          <w:szCs w:val="22"/>
        </w:rPr>
      </w:pPr>
      <w:r w:rsidRPr="00366476">
        <w:rPr>
          <w:rFonts w:ascii="Arial" w:eastAsia="Arial" w:hAnsi="Arial" w:cs="Arial"/>
          <w:sz w:val="22"/>
          <w:szCs w:val="22"/>
        </w:rPr>
        <w:t>Lawrence Hogan Jr.</w:t>
      </w:r>
      <w:r w:rsidRPr="00366476">
        <w:rPr>
          <w:rFonts w:ascii="Arial" w:eastAsia="Arial" w:hAnsi="Arial" w:cs="Arial"/>
          <w:sz w:val="22"/>
          <w:szCs w:val="22"/>
        </w:rPr>
        <w:br/>
        <w:t>Governor of Maryland</w:t>
      </w:r>
    </w:p>
    <w:p w14:paraId="639848B6" w14:textId="77777777" w:rsidR="00407567" w:rsidRPr="00366476" w:rsidRDefault="00B3325B">
      <w:pPr>
        <w:spacing w:after="0"/>
        <w:rPr>
          <w:rFonts w:ascii="Arial" w:eastAsia="Arial" w:hAnsi="Arial" w:cs="Arial"/>
          <w:sz w:val="22"/>
          <w:szCs w:val="22"/>
        </w:rPr>
      </w:pPr>
      <w:r w:rsidRPr="00366476">
        <w:rPr>
          <w:rFonts w:ascii="Arial" w:eastAsia="Arial" w:hAnsi="Arial" w:cs="Arial"/>
          <w:color w:val="333333"/>
          <w:sz w:val="22"/>
          <w:szCs w:val="22"/>
          <w:highlight w:val="white"/>
        </w:rPr>
        <w:t>100 State Circle</w:t>
      </w:r>
      <w:r w:rsidRPr="00366476">
        <w:rPr>
          <w:rFonts w:ascii="Arial" w:eastAsia="Arial" w:hAnsi="Arial" w:cs="Arial"/>
          <w:color w:val="333333"/>
          <w:sz w:val="22"/>
          <w:szCs w:val="22"/>
        </w:rPr>
        <w:br/>
      </w:r>
      <w:r w:rsidRPr="00366476">
        <w:rPr>
          <w:rFonts w:ascii="Arial" w:eastAsia="Arial" w:hAnsi="Arial" w:cs="Arial"/>
          <w:color w:val="333333"/>
          <w:sz w:val="22"/>
          <w:szCs w:val="22"/>
          <w:highlight w:val="white"/>
        </w:rPr>
        <w:t>Annapolis, Maryland</w:t>
      </w:r>
      <w:r w:rsidRPr="00366476">
        <w:rPr>
          <w:rFonts w:ascii="Arial" w:eastAsia="Arial" w:hAnsi="Arial" w:cs="Arial"/>
          <w:color w:val="333333"/>
          <w:sz w:val="22"/>
          <w:szCs w:val="22"/>
        </w:rPr>
        <w:br/>
      </w:r>
      <w:r w:rsidRPr="00366476">
        <w:rPr>
          <w:rFonts w:ascii="Arial" w:eastAsia="Arial" w:hAnsi="Arial" w:cs="Arial"/>
          <w:color w:val="333333"/>
          <w:sz w:val="22"/>
          <w:szCs w:val="22"/>
          <w:highlight w:val="white"/>
        </w:rPr>
        <w:t>21401-1925</w:t>
      </w:r>
    </w:p>
    <w:p w14:paraId="642A4794" w14:textId="77777777" w:rsidR="00407567" w:rsidRPr="00366476" w:rsidRDefault="00407567">
      <w:pPr>
        <w:spacing w:after="0"/>
        <w:rPr>
          <w:rFonts w:ascii="Arial" w:eastAsia="Arial" w:hAnsi="Arial" w:cs="Arial"/>
          <w:sz w:val="22"/>
          <w:szCs w:val="22"/>
        </w:rPr>
      </w:pPr>
    </w:p>
    <w:p w14:paraId="4508F453" w14:textId="77777777" w:rsidR="00407567" w:rsidRPr="00366476" w:rsidRDefault="00B3325B">
      <w:pPr>
        <w:rPr>
          <w:rFonts w:ascii="Arial" w:eastAsia="Arial" w:hAnsi="Arial" w:cs="Arial"/>
          <w:sz w:val="22"/>
          <w:szCs w:val="22"/>
        </w:rPr>
      </w:pPr>
      <w:r w:rsidRPr="00366476">
        <w:rPr>
          <w:rFonts w:ascii="Arial" w:eastAsia="Arial" w:hAnsi="Arial" w:cs="Arial"/>
          <w:color w:val="000000"/>
          <w:sz w:val="22"/>
          <w:szCs w:val="22"/>
        </w:rPr>
        <w:t xml:space="preserve">Michael W. </w:t>
      </w:r>
      <w:proofErr w:type="spellStart"/>
      <w:r w:rsidRPr="00366476">
        <w:rPr>
          <w:rFonts w:ascii="Arial" w:eastAsia="Arial" w:hAnsi="Arial" w:cs="Arial"/>
          <w:color w:val="000000"/>
          <w:sz w:val="22"/>
          <w:szCs w:val="22"/>
        </w:rPr>
        <w:t>Radebaugh</w:t>
      </w:r>
      <w:proofErr w:type="spellEnd"/>
      <w:r w:rsidRPr="00366476">
        <w:rPr>
          <w:rFonts w:ascii="Arial" w:eastAsia="Arial" w:hAnsi="Arial" w:cs="Arial"/>
          <w:color w:val="000000"/>
          <w:sz w:val="22"/>
          <w:szCs w:val="22"/>
        </w:rPr>
        <w:t>, VMD</w:t>
      </w:r>
      <w:r w:rsidRPr="00366476">
        <w:rPr>
          <w:rFonts w:ascii="Arial" w:eastAsia="Arial" w:hAnsi="Arial" w:cs="Arial"/>
          <w:color w:val="000000"/>
          <w:sz w:val="22"/>
          <w:szCs w:val="22"/>
        </w:rPr>
        <w:br/>
        <w:t>State Veterinarian</w:t>
      </w:r>
      <w:r w:rsidRPr="00366476">
        <w:rPr>
          <w:rFonts w:ascii="Arial" w:eastAsia="Arial" w:hAnsi="Arial" w:cs="Arial"/>
          <w:color w:val="000000"/>
          <w:sz w:val="22"/>
          <w:szCs w:val="22"/>
        </w:rPr>
        <w:br/>
        <w:t>Maryland Department of Agriculture</w:t>
      </w:r>
      <w:r w:rsidRPr="00366476">
        <w:rPr>
          <w:rFonts w:ascii="Arial" w:eastAsia="Arial" w:hAnsi="Arial" w:cs="Arial"/>
          <w:color w:val="000000"/>
          <w:sz w:val="22"/>
          <w:szCs w:val="22"/>
        </w:rPr>
        <w:br/>
        <w:t>50 Harry S. Truman Parkway</w:t>
      </w:r>
      <w:r w:rsidRPr="00366476">
        <w:rPr>
          <w:rFonts w:ascii="Arial" w:eastAsia="Arial" w:hAnsi="Arial" w:cs="Arial"/>
          <w:color w:val="000000"/>
          <w:sz w:val="22"/>
          <w:szCs w:val="22"/>
        </w:rPr>
        <w:br/>
        <w:t xml:space="preserve">Annapolis, Maryland 21401 </w:t>
      </w:r>
    </w:p>
    <w:p w14:paraId="0391DBCA" w14:textId="77777777" w:rsidR="00407567" w:rsidRPr="00366476" w:rsidRDefault="00407567">
      <w:pPr>
        <w:spacing w:after="0"/>
        <w:rPr>
          <w:rFonts w:ascii="Arial" w:eastAsia="Arial" w:hAnsi="Arial" w:cs="Arial"/>
          <w:b/>
          <w:sz w:val="22"/>
          <w:szCs w:val="22"/>
        </w:rPr>
      </w:pPr>
    </w:p>
    <w:p w14:paraId="0DA97A60" w14:textId="77777777" w:rsidR="00407567" w:rsidRPr="00366476" w:rsidRDefault="00B3325B">
      <w:pPr>
        <w:rPr>
          <w:rFonts w:ascii="Arial" w:eastAsia="Arial" w:hAnsi="Arial" w:cs="Arial"/>
          <w:b/>
          <w:sz w:val="22"/>
          <w:szCs w:val="22"/>
        </w:rPr>
      </w:pPr>
      <w:r w:rsidRPr="00366476">
        <w:rPr>
          <w:rFonts w:ascii="Arial" w:eastAsia="Arial" w:hAnsi="Arial" w:cs="Arial"/>
          <w:b/>
          <w:sz w:val="22"/>
          <w:szCs w:val="22"/>
        </w:rPr>
        <w:t>Re: Please Strengthen Proposed Regulations Implementing Keeping Antibiotics Effective Act [COMAR 15.01.15 Use of Antimicrobial Drugs]</w:t>
      </w:r>
    </w:p>
    <w:p w14:paraId="39C86BE0" w14:textId="77777777" w:rsidR="00407567" w:rsidRPr="00366476" w:rsidRDefault="00B3325B">
      <w:pPr>
        <w:spacing w:line="276" w:lineRule="auto"/>
        <w:rPr>
          <w:rFonts w:ascii="Arial" w:eastAsia="Arial" w:hAnsi="Arial" w:cs="Arial"/>
          <w:sz w:val="22"/>
          <w:szCs w:val="22"/>
          <w:highlight w:val="white"/>
        </w:rPr>
      </w:pPr>
      <w:r w:rsidRPr="00366476">
        <w:rPr>
          <w:rFonts w:ascii="Arial" w:eastAsia="Arial" w:hAnsi="Arial" w:cs="Arial"/>
          <w:sz w:val="22"/>
          <w:szCs w:val="22"/>
          <w:highlight w:val="white"/>
        </w:rPr>
        <w:t xml:space="preserve">Dear Governor Hogan and Dr. </w:t>
      </w:r>
      <w:proofErr w:type="spellStart"/>
      <w:r w:rsidRPr="00366476">
        <w:rPr>
          <w:rFonts w:ascii="Arial" w:eastAsia="Arial" w:hAnsi="Arial" w:cs="Arial"/>
          <w:color w:val="000000"/>
          <w:sz w:val="22"/>
          <w:szCs w:val="22"/>
        </w:rPr>
        <w:t>Radebaugh</w:t>
      </w:r>
      <w:proofErr w:type="spellEnd"/>
      <w:r w:rsidRPr="00366476">
        <w:rPr>
          <w:rFonts w:ascii="Arial" w:eastAsia="Arial" w:hAnsi="Arial" w:cs="Arial"/>
          <w:sz w:val="22"/>
          <w:szCs w:val="22"/>
          <w:highlight w:val="white"/>
        </w:rPr>
        <w:t xml:space="preserve">, </w:t>
      </w:r>
    </w:p>
    <w:p w14:paraId="58DF304A" w14:textId="77777777" w:rsidR="00407567" w:rsidRPr="00366476" w:rsidRDefault="00B3325B">
      <w:pPr>
        <w:pBdr>
          <w:top w:val="nil"/>
          <w:left w:val="nil"/>
          <w:bottom w:val="nil"/>
          <w:right w:val="nil"/>
          <w:between w:val="nil"/>
        </w:pBdr>
        <w:spacing w:after="0" w:line="240" w:lineRule="auto"/>
        <w:rPr>
          <w:rFonts w:ascii="Arial" w:eastAsia="Arial" w:hAnsi="Arial" w:cs="Arial"/>
          <w:color w:val="000000"/>
          <w:sz w:val="22"/>
          <w:szCs w:val="22"/>
        </w:rPr>
      </w:pPr>
      <w:r w:rsidRPr="00366476">
        <w:rPr>
          <w:rFonts w:ascii="Arial" w:eastAsia="Arial" w:hAnsi="Arial" w:cs="Arial"/>
          <w:color w:val="000000"/>
          <w:sz w:val="22"/>
          <w:szCs w:val="22"/>
        </w:rPr>
        <w:t>We face an urgent global antibiotic resistance crisis, driven in part by widesprea</w:t>
      </w:r>
      <w:r w:rsidRPr="00366476">
        <w:rPr>
          <w:rFonts w:ascii="Arial" w:eastAsia="Arial" w:hAnsi="Arial" w:cs="Arial"/>
          <w:color w:val="000000"/>
          <w:sz w:val="22"/>
          <w:szCs w:val="22"/>
        </w:rPr>
        <w:t>d overuse of antibiotics in meat production. Maryland Senate Bill 422 (Keeping Antibiotics Effective Act) set forth pioneering restrictions to curb this overuse. We urge you to revise and strengthen the Department of Agriculture’s proposed livestock antibi</w:t>
      </w:r>
      <w:r w:rsidRPr="00366476">
        <w:rPr>
          <w:rFonts w:ascii="Arial" w:eastAsia="Arial" w:hAnsi="Arial" w:cs="Arial"/>
          <w:color w:val="000000"/>
          <w:sz w:val="22"/>
          <w:szCs w:val="22"/>
        </w:rPr>
        <w:t xml:space="preserve">otic regulations to prohibit routine use of antibiotics in healthy livestock. </w:t>
      </w:r>
    </w:p>
    <w:p w14:paraId="054C5E67" w14:textId="77777777" w:rsidR="00407567" w:rsidRPr="00366476" w:rsidRDefault="00407567">
      <w:pPr>
        <w:pBdr>
          <w:top w:val="nil"/>
          <w:left w:val="nil"/>
          <w:bottom w:val="nil"/>
          <w:right w:val="nil"/>
          <w:between w:val="nil"/>
        </w:pBdr>
        <w:spacing w:after="0" w:line="240" w:lineRule="auto"/>
        <w:rPr>
          <w:rFonts w:ascii="Arial" w:eastAsia="Arial" w:hAnsi="Arial" w:cs="Arial"/>
          <w:color w:val="000000"/>
          <w:sz w:val="22"/>
          <w:szCs w:val="22"/>
        </w:rPr>
      </w:pPr>
      <w:bookmarkStart w:id="1" w:name="_gjdgxs" w:colFirst="0" w:colLast="0"/>
      <w:bookmarkEnd w:id="1"/>
    </w:p>
    <w:p w14:paraId="5DCE4EE3" w14:textId="77777777" w:rsidR="00407567" w:rsidRPr="00366476" w:rsidRDefault="00B3325B">
      <w:pPr>
        <w:pBdr>
          <w:top w:val="nil"/>
          <w:left w:val="nil"/>
          <w:bottom w:val="nil"/>
          <w:right w:val="nil"/>
          <w:between w:val="nil"/>
        </w:pBdr>
        <w:spacing w:after="0" w:line="240" w:lineRule="auto"/>
        <w:rPr>
          <w:rFonts w:ascii="Arial" w:eastAsia="Arial" w:hAnsi="Arial" w:cs="Arial"/>
          <w:color w:val="000000"/>
          <w:sz w:val="22"/>
          <w:szCs w:val="22"/>
        </w:rPr>
      </w:pPr>
      <w:r w:rsidRPr="00366476">
        <w:rPr>
          <w:rFonts w:ascii="Arial" w:eastAsia="Arial" w:hAnsi="Arial" w:cs="Arial"/>
          <w:color w:val="000000"/>
          <w:sz w:val="22"/>
          <w:szCs w:val="22"/>
        </w:rPr>
        <w:t xml:space="preserve">Specifically, there are two aspects of the regulations that need revision. </w:t>
      </w:r>
    </w:p>
    <w:p w14:paraId="4EB54084" w14:textId="77777777" w:rsidR="00407567" w:rsidRPr="00366476" w:rsidRDefault="00407567">
      <w:pPr>
        <w:pBdr>
          <w:top w:val="nil"/>
          <w:left w:val="nil"/>
          <w:bottom w:val="nil"/>
          <w:right w:val="nil"/>
          <w:between w:val="nil"/>
        </w:pBdr>
        <w:spacing w:after="0" w:line="240" w:lineRule="auto"/>
        <w:rPr>
          <w:rFonts w:ascii="Arial" w:eastAsia="Arial" w:hAnsi="Arial" w:cs="Arial"/>
          <w:color w:val="000000"/>
          <w:sz w:val="22"/>
          <w:szCs w:val="22"/>
        </w:rPr>
      </w:pPr>
    </w:p>
    <w:p w14:paraId="1A78F0EE" w14:textId="77777777" w:rsidR="00407567" w:rsidRPr="00366476" w:rsidRDefault="00B3325B">
      <w:pPr>
        <w:pBdr>
          <w:top w:val="nil"/>
          <w:left w:val="nil"/>
          <w:bottom w:val="nil"/>
          <w:right w:val="nil"/>
          <w:between w:val="nil"/>
        </w:pBdr>
        <w:spacing w:after="0" w:line="240" w:lineRule="auto"/>
        <w:rPr>
          <w:rFonts w:ascii="Arial" w:eastAsia="Arial" w:hAnsi="Arial" w:cs="Arial"/>
          <w:color w:val="000000"/>
          <w:sz w:val="22"/>
          <w:szCs w:val="22"/>
        </w:rPr>
      </w:pPr>
      <w:r w:rsidRPr="00366476">
        <w:rPr>
          <w:rFonts w:ascii="Arial" w:eastAsia="Arial" w:hAnsi="Arial" w:cs="Arial"/>
          <w:color w:val="000000"/>
          <w:sz w:val="22"/>
          <w:szCs w:val="22"/>
        </w:rPr>
        <w:t xml:space="preserve">First, the extremely narrow definition of “regular pattern” would allow many </w:t>
      </w:r>
      <w:proofErr w:type="gramStart"/>
      <w:r w:rsidRPr="00366476">
        <w:rPr>
          <w:rFonts w:ascii="Arial" w:eastAsia="Arial" w:hAnsi="Arial" w:cs="Arial"/>
          <w:color w:val="000000"/>
          <w:sz w:val="22"/>
          <w:szCs w:val="22"/>
        </w:rPr>
        <w:t>routine</w:t>
      </w:r>
      <w:proofErr w:type="gramEnd"/>
      <w:r w:rsidRPr="00366476">
        <w:rPr>
          <w:rFonts w:ascii="Arial" w:eastAsia="Arial" w:hAnsi="Arial" w:cs="Arial"/>
          <w:color w:val="000000"/>
          <w:sz w:val="22"/>
          <w:szCs w:val="22"/>
        </w:rPr>
        <w:t xml:space="preserve"> uses of medically important antibiotics to continue, contrary to the purpose of SB 422. The statute prohibits use of medically important antibiotics “in a regular pattern.</w:t>
      </w:r>
      <w:r w:rsidRPr="00366476">
        <w:rPr>
          <w:rFonts w:ascii="Arial" w:eastAsia="Arial" w:hAnsi="Arial" w:cs="Arial"/>
          <w:color w:val="000000"/>
          <w:sz w:val="22"/>
          <w:szCs w:val="22"/>
        </w:rPr>
        <w:t xml:space="preserve">” This prohibition means that livestock operations cannot routinely administer antibiotics for disease prevention. </w:t>
      </w:r>
    </w:p>
    <w:p w14:paraId="2CBFA04C" w14:textId="77777777" w:rsidR="00407567" w:rsidRPr="00366476" w:rsidRDefault="00407567">
      <w:pPr>
        <w:pBdr>
          <w:top w:val="nil"/>
          <w:left w:val="nil"/>
          <w:bottom w:val="nil"/>
          <w:right w:val="nil"/>
          <w:between w:val="nil"/>
        </w:pBdr>
        <w:spacing w:after="0" w:line="240" w:lineRule="auto"/>
        <w:rPr>
          <w:rFonts w:ascii="Arial" w:eastAsia="Arial" w:hAnsi="Arial" w:cs="Arial"/>
          <w:color w:val="000000"/>
          <w:sz w:val="22"/>
          <w:szCs w:val="22"/>
        </w:rPr>
      </w:pPr>
    </w:p>
    <w:p w14:paraId="4E75422D" w14:textId="77777777" w:rsidR="00407567" w:rsidRPr="00366476" w:rsidRDefault="00B3325B">
      <w:pPr>
        <w:pBdr>
          <w:top w:val="nil"/>
          <w:left w:val="nil"/>
          <w:bottom w:val="nil"/>
          <w:right w:val="nil"/>
          <w:between w:val="nil"/>
        </w:pBdr>
        <w:spacing w:after="0" w:line="240" w:lineRule="auto"/>
        <w:rPr>
          <w:rFonts w:ascii="Arial" w:eastAsia="Arial" w:hAnsi="Arial" w:cs="Arial"/>
          <w:color w:val="000000"/>
          <w:sz w:val="22"/>
          <w:szCs w:val="22"/>
        </w:rPr>
      </w:pPr>
      <w:r w:rsidRPr="00366476">
        <w:rPr>
          <w:rFonts w:ascii="Arial" w:eastAsia="Arial" w:hAnsi="Arial" w:cs="Arial"/>
          <w:color w:val="000000"/>
          <w:sz w:val="22"/>
          <w:szCs w:val="22"/>
        </w:rPr>
        <w:t xml:space="preserve">The draft regulation defines “regular pattern” as “repeating the dosage of medically important antimicrobial drug known as pulse dosing to </w:t>
      </w:r>
      <w:r w:rsidRPr="00366476">
        <w:rPr>
          <w:rFonts w:ascii="Arial" w:eastAsia="Arial" w:hAnsi="Arial" w:cs="Arial"/>
          <w:color w:val="000000"/>
          <w:sz w:val="22"/>
          <w:szCs w:val="22"/>
        </w:rPr>
        <w:t>the same animal or group of animals that is inconsistent with its approved duration and indication of uses.” Under this definition, the regulation appears to prohibit only uses that are already illegal—only uses inconsistent with approved durations and ind</w:t>
      </w:r>
      <w:r w:rsidRPr="00366476">
        <w:rPr>
          <w:rFonts w:ascii="Arial" w:eastAsia="Arial" w:hAnsi="Arial" w:cs="Arial"/>
          <w:color w:val="000000"/>
          <w:sz w:val="22"/>
          <w:szCs w:val="22"/>
        </w:rPr>
        <w:t>ications.</w:t>
      </w:r>
      <w:r w:rsidRPr="00366476">
        <w:rPr>
          <w:rFonts w:ascii="Arial" w:eastAsia="Arial" w:hAnsi="Arial" w:cs="Arial"/>
          <w:color w:val="000000"/>
          <w:sz w:val="22"/>
          <w:szCs w:val="22"/>
          <w:vertAlign w:val="superscript"/>
        </w:rPr>
        <w:footnoteReference w:id="1"/>
      </w:r>
      <w:r w:rsidRPr="00366476">
        <w:rPr>
          <w:rFonts w:ascii="Arial" w:eastAsia="Arial" w:hAnsi="Arial" w:cs="Arial"/>
          <w:color w:val="000000"/>
          <w:sz w:val="22"/>
          <w:szCs w:val="22"/>
        </w:rPr>
        <w:t xml:space="preserve"> It does not eliminate routine uses that are permitted under federal law. In addition, this definition narrows the applicability of the law further to “pulse </w:t>
      </w:r>
      <w:r w:rsidRPr="00366476">
        <w:rPr>
          <w:rFonts w:ascii="Arial" w:eastAsia="Arial" w:hAnsi="Arial" w:cs="Arial"/>
          <w:color w:val="000000"/>
          <w:sz w:val="22"/>
          <w:szCs w:val="22"/>
        </w:rPr>
        <w:lastRenderedPageBreak/>
        <w:t xml:space="preserve">dosing” – a novel and uncommon use of antibiotics. SB 422 intended to cover </w:t>
      </w:r>
      <w:r w:rsidRPr="00366476">
        <w:rPr>
          <w:rFonts w:ascii="Arial" w:eastAsia="Arial" w:hAnsi="Arial" w:cs="Arial"/>
          <w:b/>
          <w:i/>
          <w:color w:val="000000"/>
          <w:sz w:val="22"/>
          <w:szCs w:val="22"/>
        </w:rPr>
        <w:t xml:space="preserve">all </w:t>
      </w:r>
      <w:r w:rsidRPr="00366476">
        <w:rPr>
          <w:rFonts w:ascii="Arial" w:eastAsia="Arial" w:hAnsi="Arial" w:cs="Arial"/>
          <w:color w:val="000000"/>
          <w:sz w:val="22"/>
          <w:szCs w:val="22"/>
        </w:rPr>
        <w:t>routine uses of antibiotics. This “regular pattern” definition is not a defensible clarification of the statute necessary to “carry out” the law (3-1006); rather, it is a substantive change to the law that undercuts the main purpose of SB 422</w:t>
      </w:r>
      <w:r w:rsidRPr="00366476">
        <w:rPr>
          <w:rFonts w:ascii="Arial" w:eastAsia="Arial" w:hAnsi="Arial" w:cs="Arial"/>
          <w:color w:val="000000"/>
          <w:sz w:val="22"/>
          <w:szCs w:val="22"/>
        </w:rPr>
        <w:t>.</w:t>
      </w:r>
    </w:p>
    <w:p w14:paraId="03788587" w14:textId="77777777" w:rsidR="00407567" w:rsidRPr="00366476" w:rsidRDefault="00407567">
      <w:pPr>
        <w:pBdr>
          <w:top w:val="nil"/>
          <w:left w:val="nil"/>
          <w:bottom w:val="nil"/>
          <w:right w:val="nil"/>
          <w:between w:val="nil"/>
        </w:pBdr>
        <w:spacing w:after="0" w:line="240" w:lineRule="auto"/>
        <w:rPr>
          <w:rFonts w:ascii="Arial" w:eastAsia="Arial" w:hAnsi="Arial" w:cs="Arial"/>
          <w:color w:val="000000"/>
          <w:sz w:val="22"/>
          <w:szCs w:val="22"/>
        </w:rPr>
      </w:pPr>
    </w:p>
    <w:p w14:paraId="41A742F7" w14:textId="77777777" w:rsidR="00407567" w:rsidRPr="00366476" w:rsidRDefault="00B3325B">
      <w:pPr>
        <w:pBdr>
          <w:top w:val="nil"/>
          <w:left w:val="nil"/>
          <w:bottom w:val="nil"/>
          <w:right w:val="nil"/>
          <w:between w:val="nil"/>
        </w:pBdr>
        <w:spacing w:after="70" w:line="240" w:lineRule="auto"/>
        <w:rPr>
          <w:rFonts w:ascii="Arial" w:eastAsia="Arial" w:hAnsi="Arial" w:cs="Arial"/>
          <w:color w:val="000000"/>
          <w:sz w:val="22"/>
          <w:szCs w:val="22"/>
        </w:rPr>
      </w:pPr>
      <w:r w:rsidRPr="00366476">
        <w:rPr>
          <w:rFonts w:ascii="Arial Unicode MS" w:eastAsia="Arial Unicode MS" w:hAnsi="Arial Unicode MS" w:cs="Arial Unicode MS"/>
          <w:color w:val="000000"/>
          <w:sz w:val="22"/>
          <w:szCs w:val="22"/>
        </w:rPr>
        <w:t>➢</w:t>
      </w:r>
      <w:r w:rsidRPr="00366476">
        <w:rPr>
          <w:rFonts w:ascii="Arial" w:eastAsia="Arial" w:hAnsi="Arial" w:cs="Arial"/>
          <w:color w:val="000000"/>
          <w:sz w:val="22"/>
          <w:szCs w:val="22"/>
        </w:rPr>
        <w:t xml:space="preserve"> Recommend</w:t>
      </w:r>
      <w:r w:rsidRPr="00366476">
        <w:rPr>
          <w:rFonts w:ascii="Arial" w:eastAsia="Arial" w:hAnsi="Arial" w:cs="Arial"/>
          <w:color w:val="000000"/>
          <w:sz w:val="22"/>
          <w:szCs w:val="22"/>
        </w:rPr>
        <w:t xml:space="preserve">ation </w:t>
      </w:r>
    </w:p>
    <w:p w14:paraId="48C0DD0A" w14:textId="77777777" w:rsidR="00407567" w:rsidRPr="00366476" w:rsidRDefault="00B3325B">
      <w:pPr>
        <w:numPr>
          <w:ilvl w:val="0"/>
          <w:numId w:val="1"/>
        </w:numPr>
        <w:pBdr>
          <w:top w:val="nil"/>
          <w:left w:val="nil"/>
          <w:bottom w:val="nil"/>
          <w:right w:val="nil"/>
          <w:between w:val="nil"/>
        </w:pBdr>
        <w:spacing w:after="70" w:line="240" w:lineRule="auto"/>
        <w:rPr>
          <w:color w:val="000000"/>
          <w:sz w:val="22"/>
          <w:szCs w:val="22"/>
        </w:rPr>
      </w:pPr>
      <w:r w:rsidRPr="00366476">
        <w:rPr>
          <w:rFonts w:ascii="Arial" w:eastAsia="Arial" w:hAnsi="Arial" w:cs="Arial"/>
          <w:color w:val="000000"/>
          <w:sz w:val="22"/>
          <w:szCs w:val="22"/>
        </w:rPr>
        <w:t xml:space="preserve">Clarify that medically important antibiotics must not be administered repeatedly, i.e. twice or more in the same animal or group of animals for the same purpose, or as standard operating procedure, for prophylaxis. </w:t>
      </w:r>
    </w:p>
    <w:p w14:paraId="29ECA446" w14:textId="77777777" w:rsidR="00407567" w:rsidRPr="00366476" w:rsidRDefault="00B3325B">
      <w:pPr>
        <w:numPr>
          <w:ilvl w:val="0"/>
          <w:numId w:val="1"/>
        </w:numPr>
        <w:pBdr>
          <w:top w:val="nil"/>
          <w:left w:val="nil"/>
          <w:bottom w:val="nil"/>
          <w:right w:val="nil"/>
          <w:between w:val="nil"/>
        </w:pBdr>
        <w:spacing w:after="70" w:line="240" w:lineRule="auto"/>
        <w:rPr>
          <w:color w:val="000000"/>
          <w:sz w:val="22"/>
          <w:szCs w:val="22"/>
        </w:rPr>
      </w:pPr>
      <w:r w:rsidRPr="00366476">
        <w:rPr>
          <w:rFonts w:ascii="Arial" w:eastAsia="Arial" w:hAnsi="Arial" w:cs="Arial"/>
          <w:color w:val="000000"/>
          <w:sz w:val="22"/>
          <w:szCs w:val="22"/>
        </w:rPr>
        <w:t>Identify specific prohibited uses</w:t>
      </w:r>
      <w:r w:rsidRPr="00366476">
        <w:rPr>
          <w:rFonts w:ascii="Arial" w:eastAsia="Arial" w:hAnsi="Arial" w:cs="Arial"/>
          <w:color w:val="000000"/>
          <w:sz w:val="22"/>
          <w:szCs w:val="22"/>
        </w:rPr>
        <w:t xml:space="preserve">, including, but not limited to, repeated use in correspondence with a life stage, as an ongoing management strategy or tool, when moving animals from one location to another, and when a dairy cow enters a dry cycle. </w:t>
      </w:r>
    </w:p>
    <w:p w14:paraId="7666CA86" w14:textId="77777777" w:rsidR="00407567" w:rsidRPr="00366476" w:rsidRDefault="00407567">
      <w:pPr>
        <w:numPr>
          <w:ilvl w:val="1"/>
          <w:numId w:val="10"/>
        </w:numPr>
        <w:pBdr>
          <w:top w:val="nil"/>
          <w:left w:val="nil"/>
          <w:bottom w:val="nil"/>
          <w:right w:val="nil"/>
          <w:between w:val="nil"/>
        </w:pBdr>
        <w:spacing w:after="0" w:line="240" w:lineRule="auto"/>
        <w:rPr>
          <w:rFonts w:ascii="Arial" w:eastAsia="Arial" w:hAnsi="Arial" w:cs="Arial"/>
          <w:color w:val="000000"/>
          <w:sz w:val="22"/>
          <w:szCs w:val="22"/>
        </w:rPr>
      </w:pPr>
    </w:p>
    <w:p w14:paraId="60746041" w14:textId="54B99D63" w:rsidR="00407567" w:rsidRPr="00366476" w:rsidRDefault="00B3325B">
      <w:pPr>
        <w:pBdr>
          <w:top w:val="nil"/>
          <w:left w:val="nil"/>
          <w:bottom w:val="nil"/>
          <w:right w:val="nil"/>
          <w:between w:val="nil"/>
        </w:pBdr>
        <w:spacing w:after="0" w:line="240" w:lineRule="auto"/>
        <w:rPr>
          <w:rFonts w:ascii="Arial" w:eastAsia="Arial" w:hAnsi="Arial" w:cs="Arial"/>
          <w:color w:val="000000"/>
          <w:sz w:val="22"/>
          <w:szCs w:val="22"/>
        </w:rPr>
      </w:pPr>
      <w:r w:rsidRPr="00366476">
        <w:rPr>
          <w:rFonts w:ascii="Arial" w:eastAsia="Arial" w:hAnsi="Arial" w:cs="Arial"/>
          <w:color w:val="000000"/>
          <w:sz w:val="22"/>
          <w:szCs w:val="22"/>
        </w:rPr>
        <w:t xml:space="preserve">Second, the definition of “prophylaxis” could be construed as allowing the use of antibiotics to address risks that stem from </w:t>
      </w:r>
      <w:r w:rsidR="00B70AA6" w:rsidRPr="00366476">
        <w:rPr>
          <w:rFonts w:ascii="Arial" w:eastAsia="Arial" w:hAnsi="Arial" w:cs="Arial"/>
          <w:color w:val="000000"/>
          <w:sz w:val="22"/>
          <w:szCs w:val="22"/>
        </w:rPr>
        <w:t>unhealthy</w:t>
      </w:r>
      <w:r w:rsidRPr="00366476">
        <w:rPr>
          <w:rFonts w:ascii="Arial" w:eastAsia="Arial" w:hAnsi="Arial" w:cs="Arial"/>
          <w:color w:val="000000"/>
          <w:sz w:val="22"/>
          <w:szCs w:val="22"/>
        </w:rPr>
        <w:t xml:space="preserve"> conditions normally present at concentrated animal feeding operations. To avoid an exception that swallows the rule, the</w:t>
      </w:r>
      <w:r w:rsidRPr="00366476">
        <w:rPr>
          <w:rFonts w:ascii="Arial" w:eastAsia="Arial" w:hAnsi="Arial" w:cs="Arial"/>
          <w:color w:val="000000"/>
          <w:sz w:val="22"/>
          <w:szCs w:val="22"/>
        </w:rPr>
        <w:t xml:space="preserve"> regulations should draw a distinction between general “prophylaxis” (prevention of illness) and prophylaxis to address an “elevated risk.” </w:t>
      </w:r>
    </w:p>
    <w:p w14:paraId="6B9D74E7" w14:textId="77777777" w:rsidR="00407567" w:rsidRPr="00366476" w:rsidRDefault="00407567">
      <w:pPr>
        <w:pBdr>
          <w:top w:val="nil"/>
          <w:left w:val="nil"/>
          <w:bottom w:val="nil"/>
          <w:right w:val="nil"/>
          <w:between w:val="nil"/>
        </w:pBdr>
        <w:spacing w:after="0" w:line="240" w:lineRule="auto"/>
        <w:rPr>
          <w:rFonts w:ascii="Quattrocento Sans" w:eastAsia="Quattrocento Sans" w:hAnsi="Quattrocento Sans" w:cs="Quattrocento Sans"/>
          <w:color w:val="000000"/>
          <w:sz w:val="22"/>
          <w:szCs w:val="22"/>
        </w:rPr>
      </w:pPr>
    </w:p>
    <w:p w14:paraId="129AB336" w14:textId="77777777" w:rsidR="00407567" w:rsidRPr="00366476" w:rsidRDefault="00B3325B">
      <w:pPr>
        <w:pBdr>
          <w:top w:val="nil"/>
          <w:left w:val="nil"/>
          <w:bottom w:val="nil"/>
          <w:right w:val="nil"/>
          <w:between w:val="nil"/>
        </w:pBdr>
        <w:spacing w:after="0" w:line="240" w:lineRule="auto"/>
        <w:rPr>
          <w:rFonts w:ascii="Arial" w:eastAsia="Arial" w:hAnsi="Arial" w:cs="Arial"/>
          <w:color w:val="000000"/>
          <w:sz w:val="22"/>
          <w:szCs w:val="22"/>
        </w:rPr>
      </w:pPr>
      <w:r w:rsidRPr="00366476">
        <w:rPr>
          <w:rFonts w:ascii="Arial Unicode MS" w:eastAsia="Arial Unicode MS" w:hAnsi="Arial Unicode MS" w:cs="Arial Unicode MS"/>
          <w:color w:val="000000"/>
          <w:sz w:val="22"/>
          <w:szCs w:val="22"/>
        </w:rPr>
        <w:t>➢</w:t>
      </w:r>
      <w:r w:rsidRPr="00366476">
        <w:rPr>
          <w:rFonts w:ascii="Arial" w:eastAsia="Arial" w:hAnsi="Arial" w:cs="Arial"/>
          <w:color w:val="000000"/>
          <w:sz w:val="22"/>
          <w:szCs w:val="22"/>
        </w:rPr>
        <w:t xml:space="preserve"> Recommendation</w:t>
      </w:r>
    </w:p>
    <w:p w14:paraId="53D9EAAB" w14:textId="77777777" w:rsidR="00407567" w:rsidRPr="00366476" w:rsidRDefault="00407567">
      <w:pPr>
        <w:pBdr>
          <w:top w:val="nil"/>
          <w:left w:val="nil"/>
          <w:bottom w:val="nil"/>
          <w:right w:val="nil"/>
          <w:between w:val="nil"/>
        </w:pBdr>
        <w:spacing w:after="0" w:line="240" w:lineRule="auto"/>
        <w:rPr>
          <w:rFonts w:ascii="Arial" w:eastAsia="Arial" w:hAnsi="Arial" w:cs="Arial"/>
          <w:color w:val="000000"/>
          <w:sz w:val="22"/>
          <w:szCs w:val="22"/>
        </w:rPr>
      </w:pPr>
    </w:p>
    <w:p w14:paraId="6A0C89F8" w14:textId="77777777" w:rsidR="00407567" w:rsidRPr="00366476" w:rsidRDefault="00B3325B">
      <w:pPr>
        <w:numPr>
          <w:ilvl w:val="0"/>
          <w:numId w:val="2"/>
        </w:numPr>
        <w:pBdr>
          <w:top w:val="nil"/>
          <w:left w:val="nil"/>
          <w:bottom w:val="nil"/>
          <w:right w:val="nil"/>
          <w:between w:val="nil"/>
        </w:pBdr>
        <w:spacing w:after="0" w:line="240" w:lineRule="auto"/>
        <w:rPr>
          <w:color w:val="000000"/>
          <w:sz w:val="22"/>
          <w:szCs w:val="22"/>
        </w:rPr>
      </w:pPr>
      <w:r w:rsidRPr="00366476">
        <w:rPr>
          <w:rFonts w:ascii="Arial" w:eastAsia="Arial" w:hAnsi="Arial" w:cs="Arial"/>
          <w:color w:val="000000"/>
          <w:sz w:val="22"/>
          <w:szCs w:val="22"/>
        </w:rPr>
        <w:t xml:space="preserve">Remove “elevated risk” from the definition of “prophylaxis.” </w:t>
      </w:r>
    </w:p>
    <w:p w14:paraId="7E15E5DA" w14:textId="77777777" w:rsidR="00407567" w:rsidRPr="00366476" w:rsidRDefault="00B3325B">
      <w:pPr>
        <w:numPr>
          <w:ilvl w:val="0"/>
          <w:numId w:val="2"/>
        </w:numPr>
        <w:pBdr>
          <w:top w:val="nil"/>
          <w:left w:val="nil"/>
          <w:bottom w:val="nil"/>
          <w:right w:val="nil"/>
          <w:between w:val="nil"/>
        </w:pBdr>
        <w:spacing w:after="0" w:line="240" w:lineRule="auto"/>
        <w:rPr>
          <w:color w:val="000000"/>
          <w:sz w:val="22"/>
          <w:szCs w:val="22"/>
        </w:rPr>
      </w:pPr>
      <w:r w:rsidRPr="00366476">
        <w:rPr>
          <w:rFonts w:ascii="Arial" w:eastAsia="Arial" w:hAnsi="Arial" w:cs="Arial"/>
          <w:color w:val="000000"/>
          <w:sz w:val="22"/>
          <w:szCs w:val="22"/>
        </w:rPr>
        <w:t xml:space="preserve">Add a separate definition of “elevated risk” that clarifies risks are only elevated if they are not present under normal operating conditions. </w:t>
      </w:r>
    </w:p>
    <w:p w14:paraId="291FD894" w14:textId="77777777" w:rsidR="00407567" w:rsidRPr="00366476" w:rsidRDefault="00407567">
      <w:pPr>
        <w:numPr>
          <w:ilvl w:val="1"/>
          <w:numId w:val="11"/>
        </w:numPr>
        <w:pBdr>
          <w:top w:val="nil"/>
          <w:left w:val="nil"/>
          <w:bottom w:val="nil"/>
          <w:right w:val="nil"/>
          <w:between w:val="nil"/>
        </w:pBdr>
        <w:spacing w:after="0" w:line="240" w:lineRule="auto"/>
        <w:rPr>
          <w:rFonts w:ascii="Arial" w:eastAsia="Arial" w:hAnsi="Arial" w:cs="Arial"/>
          <w:color w:val="000000"/>
          <w:sz w:val="22"/>
          <w:szCs w:val="22"/>
        </w:rPr>
      </w:pPr>
    </w:p>
    <w:p w14:paraId="45C46D52" w14:textId="728B608D" w:rsidR="00407567" w:rsidRPr="00366476" w:rsidRDefault="00B3325B">
      <w:pPr>
        <w:pBdr>
          <w:top w:val="nil"/>
          <w:left w:val="nil"/>
          <w:bottom w:val="nil"/>
          <w:right w:val="nil"/>
          <w:between w:val="nil"/>
        </w:pBdr>
        <w:spacing w:after="0" w:line="240" w:lineRule="auto"/>
        <w:rPr>
          <w:rFonts w:ascii="Arial" w:eastAsia="Arial" w:hAnsi="Arial" w:cs="Arial"/>
          <w:color w:val="000000"/>
          <w:sz w:val="22"/>
          <w:szCs w:val="22"/>
        </w:rPr>
      </w:pPr>
      <w:r w:rsidRPr="00366476">
        <w:rPr>
          <w:rFonts w:ascii="Arial" w:eastAsia="Arial" w:hAnsi="Arial" w:cs="Arial"/>
          <w:color w:val="000000"/>
          <w:sz w:val="22"/>
          <w:szCs w:val="22"/>
        </w:rPr>
        <w:t xml:space="preserve">Attached is revised regulatory language </w:t>
      </w:r>
      <w:r w:rsidRPr="00366476">
        <w:rPr>
          <w:rFonts w:ascii="Arial" w:eastAsia="Arial" w:hAnsi="Arial" w:cs="Arial"/>
          <w:color w:val="000000"/>
          <w:sz w:val="22"/>
          <w:szCs w:val="22"/>
        </w:rPr>
        <w:t xml:space="preserve">that carries out these recommendations. We strongly urge </w:t>
      </w:r>
      <w:r w:rsidRPr="00366476">
        <w:rPr>
          <w:rFonts w:ascii="Arial" w:eastAsia="Arial" w:hAnsi="Arial" w:cs="Arial"/>
          <w:sz w:val="22"/>
          <w:szCs w:val="22"/>
        </w:rPr>
        <w:t>for</w:t>
      </w:r>
      <w:r w:rsidRPr="00366476">
        <w:rPr>
          <w:rFonts w:ascii="Arial" w:eastAsia="Arial" w:hAnsi="Arial" w:cs="Arial"/>
          <w:color w:val="000000"/>
          <w:sz w:val="22"/>
          <w:szCs w:val="22"/>
        </w:rPr>
        <w:t xml:space="preserve"> these changes</w:t>
      </w:r>
      <w:r w:rsidRPr="00366476">
        <w:rPr>
          <w:rFonts w:ascii="Arial" w:eastAsia="Arial" w:hAnsi="Arial" w:cs="Arial"/>
          <w:color w:val="000000"/>
          <w:sz w:val="22"/>
          <w:szCs w:val="22"/>
        </w:rPr>
        <w:t xml:space="preserve"> to be included</w:t>
      </w:r>
      <w:r w:rsidRPr="00366476">
        <w:rPr>
          <w:rFonts w:ascii="Arial" w:eastAsia="Arial" w:hAnsi="Arial" w:cs="Arial"/>
          <w:color w:val="000000"/>
          <w:sz w:val="22"/>
          <w:szCs w:val="22"/>
        </w:rPr>
        <w:t xml:space="preserve"> in the final regulation or propose revised regulations for further public comment. </w:t>
      </w:r>
      <w:r w:rsidR="00D2694D" w:rsidRPr="00366476">
        <w:rPr>
          <w:rFonts w:ascii="Arial" w:eastAsia="Arial" w:hAnsi="Arial" w:cs="Arial"/>
          <w:color w:val="000000"/>
          <w:sz w:val="22"/>
          <w:szCs w:val="22"/>
        </w:rPr>
        <w:t>We also request that you schedule a public hearing.</w:t>
      </w:r>
    </w:p>
    <w:p w14:paraId="1BA2CE8A" w14:textId="77777777" w:rsidR="00407567" w:rsidRPr="00366476" w:rsidRDefault="00407567">
      <w:pPr>
        <w:pBdr>
          <w:top w:val="nil"/>
          <w:left w:val="nil"/>
          <w:bottom w:val="nil"/>
          <w:right w:val="nil"/>
          <w:between w:val="nil"/>
        </w:pBdr>
        <w:spacing w:after="0" w:line="240" w:lineRule="auto"/>
        <w:rPr>
          <w:rFonts w:ascii="Arial" w:eastAsia="Arial" w:hAnsi="Arial" w:cs="Arial"/>
          <w:color w:val="000000"/>
          <w:sz w:val="22"/>
          <w:szCs w:val="22"/>
        </w:rPr>
      </w:pPr>
    </w:p>
    <w:p w14:paraId="4FDA3F40" w14:textId="77777777" w:rsidR="00407567" w:rsidRPr="00366476" w:rsidRDefault="00B3325B">
      <w:pPr>
        <w:rPr>
          <w:rFonts w:ascii="Arial" w:eastAsia="Arial" w:hAnsi="Arial" w:cs="Arial"/>
          <w:sz w:val="22"/>
          <w:szCs w:val="22"/>
        </w:rPr>
      </w:pPr>
      <w:r w:rsidRPr="00366476">
        <w:rPr>
          <w:rFonts w:ascii="Arial" w:eastAsia="Arial" w:hAnsi="Arial" w:cs="Arial"/>
          <w:sz w:val="22"/>
          <w:szCs w:val="22"/>
        </w:rPr>
        <w:t>Respectfully,</w:t>
      </w:r>
    </w:p>
    <w:p w14:paraId="02B96028" w14:textId="77777777" w:rsidR="00407567" w:rsidRPr="00366476" w:rsidRDefault="00B3325B">
      <w:pPr>
        <w:rPr>
          <w:rFonts w:ascii="Arial" w:eastAsia="Arial" w:hAnsi="Arial" w:cs="Arial"/>
          <w:sz w:val="22"/>
          <w:szCs w:val="22"/>
        </w:rPr>
      </w:pPr>
      <w:r w:rsidRPr="00366476">
        <w:rPr>
          <w:rFonts w:ascii="Arial" w:eastAsia="Arial" w:hAnsi="Arial" w:cs="Arial"/>
          <w:sz w:val="22"/>
          <w:szCs w:val="22"/>
        </w:rPr>
        <w:t>SIGS</w:t>
      </w:r>
    </w:p>
    <w:p w14:paraId="1CAA9335" w14:textId="77777777" w:rsidR="00407567" w:rsidRPr="00366476" w:rsidRDefault="00407567">
      <w:pPr>
        <w:rPr>
          <w:rFonts w:ascii="Arial" w:eastAsia="Arial" w:hAnsi="Arial" w:cs="Arial"/>
          <w:sz w:val="22"/>
          <w:szCs w:val="22"/>
        </w:rPr>
      </w:pPr>
    </w:p>
    <w:p w14:paraId="56DE2655" w14:textId="77777777" w:rsidR="00407567" w:rsidRDefault="00B3325B">
      <w:pPr>
        <w:rPr>
          <w:rFonts w:ascii="Arial" w:eastAsia="Arial" w:hAnsi="Arial" w:cs="Arial"/>
        </w:rPr>
      </w:pPr>
      <w:r w:rsidRPr="00366476">
        <w:rPr>
          <w:rFonts w:ascii="Arial" w:eastAsia="Arial" w:hAnsi="Arial" w:cs="Arial"/>
          <w:sz w:val="22"/>
          <w:szCs w:val="22"/>
        </w:rPr>
        <w:t>Attachment: Proposed revisions</w:t>
      </w:r>
      <w:r>
        <w:br w:type="page"/>
      </w:r>
    </w:p>
    <w:p w14:paraId="23715FB3" w14:textId="28977D41" w:rsidR="00407567" w:rsidRPr="00D2694D" w:rsidRDefault="00B3325B">
      <w:pPr>
        <w:rPr>
          <w:rFonts w:ascii="Arial" w:eastAsia="Arial" w:hAnsi="Arial" w:cs="Arial"/>
          <w:sz w:val="20"/>
          <w:szCs w:val="20"/>
        </w:rPr>
      </w:pPr>
      <w:r w:rsidRPr="00D2694D">
        <w:rPr>
          <w:rFonts w:ascii="Arial" w:eastAsia="Arial" w:hAnsi="Arial" w:cs="Arial"/>
          <w:b/>
          <w:sz w:val="20"/>
          <w:szCs w:val="20"/>
        </w:rPr>
        <w:lastRenderedPageBreak/>
        <w:t>Revisions to Proposed Regulation Clarifying SB 422 Prohibited Regular Patterns of Use</w:t>
      </w:r>
    </w:p>
    <w:p w14:paraId="4F71212E" w14:textId="77777777" w:rsidR="00407567" w:rsidRPr="00D2694D" w:rsidRDefault="00B3325B">
      <w:pPr>
        <w:rPr>
          <w:rFonts w:ascii="Arial" w:eastAsia="Arial" w:hAnsi="Arial" w:cs="Arial"/>
          <w:i/>
          <w:sz w:val="20"/>
          <w:szCs w:val="20"/>
        </w:rPr>
      </w:pPr>
      <w:r w:rsidRPr="00D2694D">
        <w:rPr>
          <w:rFonts w:ascii="Arial" w:eastAsia="Arial" w:hAnsi="Arial" w:cs="Arial"/>
          <w:sz w:val="20"/>
          <w:szCs w:val="20"/>
        </w:rPr>
        <w:t>.01 Purpose</w:t>
      </w:r>
      <w:r w:rsidRPr="00D2694D">
        <w:rPr>
          <w:rFonts w:ascii="Arial" w:eastAsia="Arial" w:hAnsi="Arial" w:cs="Arial"/>
          <w:i/>
          <w:sz w:val="20"/>
          <w:szCs w:val="20"/>
        </w:rPr>
        <w:t>.</w:t>
      </w:r>
    </w:p>
    <w:p w14:paraId="4212C2AB" w14:textId="77777777" w:rsidR="00407567" w:rsidRPr="00D2694D" w:rsidRDefault="00B3325B">
      <w:pPr>
        <w:rPr>
          <w:rFonts w:ascii="Arial" w:eastAsia="Arial" w:hAnsi="Arial" w:cs="Arial"/>
          <w:sz w:val="20"/>
          <w:szCs w:val="20"/>
        </w:rPr>
      </w:pPr>
      <w:r w:rsidRPr="00D2694D">
        <w:rPr>
          <w:rFonts w:ascii="Arial" w:eastAsia="Arial" w:hAnsi="Arial" w:cs="Arial"/>
          <w:sz w:val="20"/>
          <w:szCs w:val="20"/>
        </w:rPr>
        <w:t>The purpose of this chapter is to describe the restrictions on the use of medically important antimicrobial drugs in the production of cattle, swine and poultry.</w:t>
      </w:r>
    </w:p>
    <w:p w14:paraId="53045464" w14:textId="77777777" w:rsidR="00B70AA6" w:rsidRPr="00D2694D" w:rsidRDefault="00B3325B" w:rsidP="00B70AA6">
      <w:pPr>
        <w:rPr>
          <w:rFonts w:ascii="Arial" w:eastAsia="Arial" w:hAnsi="Arial" w:cs="Arial"/>
          <w:sz w:val="20"/>
          <w:szCs w:val="20"/>
        </w:rPr>
      </w:pPr>
      <w:r w:rsidRPr="00D2694D">
        <w:rPr>
          <w:rFonts w:ascii="Arial" w:eastAsia="Arial" w:hAnsi="Arial" w:cs="Arial"/>
          <w:sz w:val="20"/>
          <w:szCs w:val="20"/>
        </w:rPr>
        <w:t xml:space="preserve">.02 Definitions. </w:t>
      </w:r>
    </w:p>
    <w:p w14:paraId="16C446FF" w14:textId="77777777" w:rsidR="00B70AA6" w:rsidRPr="00D2694D" w:rsidRDefault="00B3325B" w:rsidP="00B70AA6">
      <w:pPr>
        <w:pStyle w:val="ListParagraph"/>
        <w:numPr>
          <w:ilvl w:val="0"/>
          <w:numId w:val="4"/>
        </w:numPr>
        <w:rPr>
          <w:rFonts w:ascii="Arial" w:eastAsia="Arial" w:hAnsi="Arial" w:cs="Arial"/>
          <w:sz w:val="20"/>
          <w:szCs w:val="20"/>
        </w:rPr>
      </w:pPr>
      <w:r w:rsidRPr="00D2694D">
        <w:rPr>
          <w:rFonts w:ascii="Arial" w:eastAsia="Arial" w:hAnsi="Arial" w:cs="Arial"/>
          <w:color w:val="000000"/>
          <w:sz w:val="20"/>
          <w:szCs w:val="20"/>
        </w:rPr>
        <w:t>In this chapter, the following terms have the meanings indicated</w:t>
      </w:r>
      <w:r w:rsidR="00B70AA6" w:rsidRPr="00D2694D">
        <w:rPr>
          <w:rFonts w:ascii="Arial" w:eastAsia="Arial" w:hAnsi="Arial" w:cs="Arial"/>
          <w:color w:val="000000"/>
          <w:sz w:val="20"/>
          <w:szCs w:val="20"/>
        </w:rPr>
        <w:t>.</w:t>
      </w:r>
    </w:p>
    <w:p w14:paraId="4DB32E17" w14:textId="77777777" w:rsidR="00B70AA6" w:rsidRPr="00D2694D" w:rsidRDefault="00B3325B" w:rsidP="00B70AA6">
      <w:pPr>
        <w:pStyle w:val="ListParagraph"/>
        <w:numPr>
          <w:ilvl w:val="0"/>
          <w:numId w:val="4"/>
        </w:numPr>
        <w:rPr>
          <w:rFonts w:ascii="Arial" w:eastAsia="Arial" w:hAnsi="Arial" w:cs="Arial"/>
          <w:sz w:val="20"/>
          <w:szCs w:val="20"/>
        </w:rPr>
      </w:pPr>
      <w:r w:rsidRPr="00D2694D">
        <w:rPr>
          <w:rFonts w:ascii="Arial" w:eastAsia="Arial" w:hAnsi="Arial" w:cs="Arial"/>
          <w:color w:val="000000"/>
          <w:sz w:val="20"/>
          <w:szCs w:val="20"/>
        </w:rPr>
        <w:t>Terms defined:</w:t>
      </w:r>
    </w:p>
    <w:p w14:paraId="14DB3FA7" w14:textId="77777777" w:rsidR="00B70AA6" w:rsidRPr="00D2694D" w:rsidRDefault="00B3325B" w:rsidP="00B70AA6">
      <w:pPr>
        <w:pStyle w:val="ListParagraph"/>
        <w:numPr>
          <w:ilvl w:val="1"/>
          <w:numId w:val="4"/>
        </w:numPr>
        <w:rPr>
          <w:rFonts w:ascii="Arial" w:eastAsia="Arial" w:hAnsi="Arial" w:cs="Arial"/>
          <w:sz w:val="20"/>
          <w:szCs w:val="20"/>
        </w:rPr>
      </w:pPr>
      <w:r w:rsidRPr="00D2694D">
        <w:rPr>
          <w:rFonts w:ascii="Arial" w:eastAsia="Arial" w:hAnsi="Arial" w:cs="Arial"/>
          <w:color w:val="000000"/>
          <w:sz w:val="20"/>
          <w:szCs w:val="20"/>
        </w:rPr>
        <w:t>“Animal” means cattle, swine or poultry.</w:t>
      </w:r>
    </w:p>
    <w:p w14:paraId="4F48AD0F" w14:textId="77777777" w:rsidR="00B70AA6" w:rsidRPr="00D2694D" w:rsidRDefault="00B3325B" w:rsidP="00B70AA6">
      <w:pPr>
        <w:pStyle w:val="ListParagraph"/>
        <w:numPr>
          <w:ilvl w:val="1"/>
          <w:numId w:val="4"/>
        </w:numPr>
        <w:rPr>
          <w:rFonts w:ascii="Arial" w:eastAsia="Arial" w:hAnsi="Arial" w:cs="Arial"/>
          <w:sz w:val="20"/>
          <w:szCs w:val="20"/>
        </w:rPr>
      </w:pPr>
      <w:r w:rsidRPr="00D2694D">
        <w:rPr>
          <w:rFonts w:ascii="Arial" w:eastAsia="Arial" w:hAnsi="Arial" w:cs="Arial"/>
          <w:color w:val="000000"/>
          <w:sz w:val="20"/>
          <w:szCs w:val="20"/>
        </w:rPr>
        <w:t>“Elevated risk” means an unusual and heightened likelihood of contracting a specific, identified disease or infection. A risk typically or frequently present under standard operating conditions is not</w:t>
      </w:r>
      <w:r w:rsidRPr="00D2694D">
        <w:rPr>
          <w:rFonts w:ascii="Arial" w:eastAsia="Arial" w:hAnsi="Arial" w:cs="Arial"/>
          <w:color w:val="000000"/>
          <w:sz w:val="20"/>
          <w:szCs w:val="20"/>
        </w:rPr>
        <w:t xml:space="preserve"> an “elevated risk.”</w:t>
      </w:r>
    </w:p>
    <w:p w14:paraId="287485C3" w14:textId="77777777" w:rsidR="00B70AA6" w:rsidRPr="00D2694D" w:rsidRDefault="00B3325B" w:rsidP="00B70AA6">
      <w:pPr>
        <w:pStyle w:val="ListParagraph"/>
        <w:numPr>
          <w:ilvl w:val="1"/>
          <w:numId w:val="4"/>
        </w:numPr>
        <w:rPr>
          <w:rFonts w:ascii="Arial" w:eastAsia="Arial" w:hAnsi="Arial" w:cs="Arial"/>
          <w:sz w:val="20"/>
          <w:szCs w:val="20"/>
        </w:rPr>
      </w:pPr>
      <w:r w:rsidRPr="00D2694D">
        <w:rPr>
          <w:rFonts w:ascii="Arial" w:eastAsia="Arial" w:hAnsi="Arial" w:cs="Arial"/>
          <w:color w:val="000000"/>
          <w:sz w:val="20"/>
          <w:szCs w:val="20"/>
        </w:rPr>
        <w:t xml:space="preserve">“Medically important antimicrobial drug” means any drug from a class of drug or derivative of a class of drug that is: </w:t>
      </w:r>
    </w:p>
    <w:p w14:paraId="2B752D92" w14:textId="77777777" w:rsidR="00B70AA6" w:rsidRPr="00D2694D" w:rsidRDefault="00B3325B" w:rsidP="00B70AA6">
      <w:pPr>
        <w:pStyle w:val="ListParagraph"/>
        <w:numPr>
          <w:ilvl w:val="2"/>
          <w:numId w:val="4"/>
        </w:numPr>
        <w:rPr>
          <w:rFonts w:ascii="Arial" w:eastAsia="Arial" w:hAnsi="Arial" w:cs="Arial"/>
          <w:sz w:val="20"/>
          <w:szCs w:val="20"/>
        </w:rPr>
      </w:pPr>
      <w:r w:rsidRPr="00D2694D">
        <w:rPr>
          <w:rFonts w:ascii="Arial" w:eastAsia="Arial" w:hAnsi="Arial" w:cs="Arial"/>
          <w:color w:val="000000"/>
          <w:sz w:val="20"/>
          <w:szCs w:val="20"/>
        </w:rPr>
        <w:t>Made from a mold or bacterium that kills or slows the growth of other microbes, specifically bacteria; and</w:t>
      </w:r>
    </w:p>
    <w:p w14:paraId="444FBB22" w14:textId="77777777" w:rsidR="00B70AA6" w:rsidRPr="00D2694D" w:rsidRDefault="00B3325B" w:rsidP="00B70AA6">
      <w:pPr>
        <w:pStyle w:val="ListParagraph"/>
        <w:numPr>
          <w:ilvl w:val="2"/>
          <w:numId w:val="4"/>
        </w:numPr>
        <w:rPr>
          <w:rFonts w:ascii="Arial" w:eastAsia="Arial" w:hAnsi="Arial" w:cs="Arial"/>
          <w:sz w:val="20"/>
          <w:szCs w:val="20"/>
        </w:rPr>
      </w:pPr>
      <w:r w:rsidRPr="00D2694D">
        <w:rPr>
          <w:rFonts w:ascii="Arial" w:eastAsia="Arial" w:hAnsi="Arial" w:cs="Arial"/>
          <w:color w:val="000000"/>
          <w:sz w:val="20"/>
          <w:szCs w:val="20"/>
        </w:rPr>
        <w:t xml:space="preserve">Used in </w:t>
      </w:r>
      <w:r w:rsidRPr="00D2694D">
        <w:rPr>
          <w:rFonts w:ascii="Arial" w:eastAsia="Arial" w:hAnsi="Arial" w:cs="Arial"/>
          <w:color w:val="000000"/>
          <w:sz w:val="20"/>
          <w:szCs w:val="20"/>
        </w:rPr>
        <w:t>human beings or intended for use in human beings to treat or prevent disease or infection; or</w:t>
      </w:r>
    </w:p>
    <w:p w14:paraId="5E648F8B" w14:textId="77777777" w:rsidR="00B70AA6" w:rsidRPr="00D2694D" w:rsidRDefault="00B3325B" w:rsidP="00B70AA6">
      <w:pPr>
        <w:pStyle w:val="ListParagraph"/>
        <w:numPr>
          <w:ilvl w:val="2"/>
          <w:numId w:val="4"/>
        </w:numPr>
        <w:rPr>
          <w:rFonts w:ascii="Arial" w:eastAsia="Arial" w:hAnsi="Arial" w:cs="Arial"/>
          <w:sz w:val="20"/>
          <w:szCs w:val="20"/>
        </w:rPr>
      </w:pPr>
      <w:r w:rsidRPr="00D2694D">
        <w:rPr>
          <w:rFonts w:ascii="Arial" w:eastAsia="Arial" w:hAnsi="Arial" w:cs="Arial"/>
          <w:color w:val="000000"/>
          <w:sz w:val="20"/>
          <w:szCs w:val="20"/>
        </w:rPr>
        <w:t>Listed in Appendix A of the federal Food and Drug Administration’s Guidance for Industry #152, including critically important, highly important, or important anti</w:t>
      </w:r>
      <w:r w:rsidRPr="00D2694D">
        <w:rPr>
          <w:rFonts w:ascii="Arial" w:eastAsia="Arial" w:hAnsi="Arial" w:cs="Arial"/>
          <w:color w:val="000000"/>
          <w:sz w:val="20"/>
          <w:szCs w:val="20"/>
        </w:rPr>
        <w:t>microbial drugs.</w:t>
      </w:r>
    </w:p>
    <w:p w14:paraId="52072DEC" w14:textId="629738A2" w:rsidR="00B70AA6" w:rsidRPr="00D2694D" w:rsidRDefault="00B3325B" w:rsidP="00B70AA6">
      <w:pPr>
        <w:pStyle w:val="ListParagraph"/>
        <w:numPr>
          <w:ilvl w:val="1"/>
          <w:numId w:val="4"/>
        </w:numPr>
        <w:rPr>
          <w:rFonts w:ascii="Arial" w:eastAsia="Arial" w:hAnsi="Arial" w:cs="Arial"/>
          <w:sz w:val="20"/>
          <w:szCs w:val="20"/>
        </w:rPr>
      </w:pPr>
      <w:r w:rsidRPr="00D2694D">
        <w:rPr>
          <w:rFonts w:ascii="Arial" w:eastAsia="Arial" w:hAnsi="Arial" w:cs="Arial"/>
          <w:color w:val="000000"/>
          <w:sz w:val="20"/>
          <w:szCs w:val="20"/>
        </w:rPr>
        <w:t xml:space="preserve">“Prophylaxis” means the </w:t>
      </w:r>
      <w:r w:rsidRPr="00D2694D">
        <w:rPr>
          <w:rFonts w:ascii="Arial" w:eastAsia="Arial" w:hAnsi="Arial" w:cs="Arial"/>
          <w:color w:val="000000"/>
          <w:sz w:val="20"/>
          <w:szCs w:val="20"/>
        </w:rPr>
        <w:t>prevention of illness.</w:t>
      </w:r>
    </w:p>
    <w:p w14:paraId="130C15AD" w14:textId="77777777" w:rsidR="00B70AA6" w:rsidRPr="00D2694D" w:rsidRDefault="00B70AA6" w:rsidP="00B70AA6">
      <w:pPr>
        <w:pBdr>
          <w:top w:val="nil"/>
          <w:left w:val="nil"/>
          <w:bottom w:val="nil"/>
          <w:right w:val="nil"/>
          <w:between w:val="nil"/>
        </w:pBdr>
        <w:spacing w:after="0"/>
        <w:rPr>
          <w:rFonts w:ascii="Arial" w:eastAsia="Arial" w:hAnsi="Arial" w:cs="Arial"/>
          <w:sz w:val="20"/>
          <w:szCs w:val="20"/>
        </w:rPr>
      </w:pPr>
    </w:p>
    <w:p w14:paraId="061EB48E" w14:textId="318E31D8" w:rsidR="00407567" w:rsidRPr="00D2694D" w:rsidRDefault="00B3325B" w:rsidP="00B70AA6">
      <w:pPr>
        <w:pBdr>
          <w:top w:val="nil"/>
          <w:left w:val="nil"/>
          <w:bottom w:val="nil"/>
          <w:right w:val="nil"/>
          <w:between w:val="nil"/>
        </w:pBdr>
        <w:spacing w:after="0"/>
        <w:rPr>
          <w:rFonts w:ascii="Arial" w:eastAsia="Arial" w:hAnsi="Arial" w:cs="Arial"/>
          <w:sz w:val="20"/>
          <w:szCs w:val="20"/>
        </w:rPr>
      </w:pPr>
      <w:r w:rsidRPr="00D2694D">
        <w:rPr>
          <w:rFonts w:ascii="Arial" w:eastAsia="Arial" w:hAnsi="Arial" w:cs="Arial"/>
          <w:sz w:val="20"/>
          <w:szCs w:val="20"/>
        </w:rPr>
        <w:t>.03 When Permitted.</w:t>
      </w:r>
    </w:p>
    <w:p w14:paraId="371AEEE8" w14:textId="77777777" w:rsidR="00B70AA6" w:rsidRPr="00D2694D" w:rsidRDefault="00B70AA6" w:rsidP="00B70AA6">
      <w:pPr>
        <w:pBdr>
          <w:top w:val="nil"/>
          <w:left w:val="nil"/>
          <w:bottom w:val="nil"/>
          <w:right w:val="nil"/>
          <w:between w:val="nil"/>
        </w:pBdr>
        <w:spacing w:after="0"/>
        <w:rPr>
          <w:rFonts w:ascii="Arial" w:eastAsia="Arial" w:hAnsi="Arial" w:cs="Arial"/>
          <w:color w:val="000000"/>
          <w:sz w:val="20"/>
          <w:szCs w:val="20"/>
        </w:rPr>
      </w:pPr>
    </w:p>
    <w:p w14:paraId="20C55C62" w14:textId="77777777" w:rsidR="00B70AA6" w:rsidRPr="00D2694D" w:rsidRDefault="00B3325B" w:rsidP="00B70AA6">
      <w:pPr>
        <w:pStyle w:val="ListParagraph"/>
        <w:numPr>
          <w:ilvl w:val="0"/>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Except as provided in this regulation, a person may administer a medically im</w:t>
      </w:r>
      <w:r w:rsidRPr="00D2694D">
        <w:rPr>
          <w:rFonts w:ascii="Arial" w:eastAsia="Arial" w:hAnsi="Arial" w:cs="Arial"/>
          <w:color w:val="000000"/>
          <w:sz w:val="20"/>
          <w:szCs w:val="20"/>
        </w:rPr>
        <w:t>portant antimicrobial drug to cattle, swine, or poultry if, in the professional judgment of a licensed veterinarian, the medically important antimicrobial drug is necessary:</w:t>
      </w:r>
    </w:p>
    <w:p w14:paraId="7E3ED49A" w14:textId="77777777" w:rsidR="00B70AA6" w:rsidRPr="00D2694D" w:rsidRDefault="00B3325B" w:rsidP="00B70AA6">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 xml:space="preserve">To treat a disease or infection; </w:t>
      </w:r>
    </w:p>
    <w:p w14:paraId="2C735036" w14:textId="77777777" w:rsidR="00B70AA6" w:rsidRPr="00D2694D" w:rsidRDefault="00B3325B" w:rsidP="00B70AA6">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 xml:space="preserve">To control the spread of a disease or infection; or </w:t>
      </w:r>
    </w:p>
    <w:p w14:paraId="3F7A7911" w14:textId="77777777" w:rsidR="00B70AA6" w:rsidRPr="00D2694D" w:rsidRDefault="00B3325B" w:rsidP="00B70AA6">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For a surgery or medical procedure.</w:t>
      </w:r>
    </w:p>
    <w:p w14:paraId="2797C10B" w14:textId="77777777" w:rsidR="00B70AA6" w:rsidRPr="00D2694D" w:rsidRDefault="00B3325B" w:rsidP="00B70AA6">
      <w:pPr>
        <w:pStyle w:val="ListParagraph"/>
        <w:numPr>
          <w:ilvl w:val="0"/>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person may administer a medically important antimicrobial drug to cattle, swine, or poultry if, in the professional judgment of a licensed veterinarian, the medicall</w:t>
      </w:r>
      <w:r w:rsidRPr="00D2694D">
        <w:rPr>
          <w:rFonts w:ascii="Arial" w:eastAsia="Arial" w:hAnsi="Arial" w:cs="Arial"/>
          <w:color w:val="000000"/>
          <w:sz w:val="20"/>
          <w:szCs w:val="20"/>
        </w:rPr>
        <w:t>y important antimicrobial drug is necessary for prophylaxis to address an elevated risk</w:t>
      </w:r>
      <w:r w:rsidRPr="00D2694D">
        <w:rPr>
          <w:rFonts w:ascii="Arial" w:eastAsia="Arial" w:hAnsi="Arial" w:cs="Arial"/>
          <w:color w:val="000000"/>
          <w:sz w:val="20"/>
          <w:szCs w:val="20"/>
        </w:rPr>
        <w:t>, provided that it is not used repeatedly, i.e. twice or more in the same animal or group of animals for the same purpose, or as standard operating procedure</w:t>
      </w:r>
      <w:r w:rsidRPr="00D2694D">
        <w:rPr>
          <w:rFonts w:ascii="Arial" w:eastAsia="Arial" w:hAnsi="Arial" w:cs="Arial"/>
          <w:color w:val="000000"/>
          <w:sz w:val="20"/>
          <w:szCs w:val="20"/>
        </w:rPr>
        <w:t>.</w:t>
      </w:r>
    </w:p>
    <w:p w14:paraId="054069C0" w14:textId="77777777" w:rsidR="00B70AA6" w:rsidRPr="00D2694D" w:rsidRDefault="00B3325B" w:rsidP="00B70AA6">
      <w:pPr>
        <w:pStyle w:val="ListParagraph"/>
        <w:numPr>
          <w:ilvl w:val="0"/>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Unless administration of a medically important antimicrobial drug is consistent with subsection (A) of this regulation, a person may not administer a medically important antimicrobial drug</w:t>
      </w:r>
      <w:r w:rsidRPr="00D2694D">
        <w:rPr>
          <w:rFonts w:ascii="Arial" w:eastAsia="Arial" w:hAnsi="Arial" w:cs="Arial"/>
          <w:color w:val="000000"/>
          <w:sz w:val="20"/>
          <w:szCs w:val="20"/>
        </w:rPr>
        <w:t xml:space="preserve"> repeatedly, i.e. twice or more in the same animal or group of animals for the same purpose, or as standard operating procedure, for prophylaxis. Prohibited uses include, but are not limited to, repeated u</w:t>
      </w:r>
      <w:r w:rsidRPr="00D2694D">
        <w:rPr>
          <w:rFonts w:ascii="Arial" w:eastAsia="Arial" w:hAnsi="Arial" w:cs="Arial"/>
          <w:color w:val="000000"/>
          <w:sz w:val="20"/>
          <w:szCs w:val="20"/>
        </w:rPr>
        <w:t>se in the following circumstances:</w:t>
      </w:r>
    </w:p>
    <w:p w14:paraId="1E331D03" w14:textId="77777777" w:rsidR="00B70AA6" w:rsidRPr="00D2694D" w:rsidRDefault="00B3325B" w:rsidP="00B70AA6">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In correspondence with a life stage (e.g., in-</w:t>
      </w:r>
      <w:proofErr w:type="spellStart"/>
      <w:r w:rsidRPr="00D2694D">
        <w:rPr>
          <w:rFonts w:ascii="Arial" w:eastAsia="Arial" w:hAnsi="Arial" w:cs="Arial"/>
          <w:color w:val="000000"/>
          <w:sz w:val="20"/>
          <w:szCs w:val="20"/>
        </w:rPr>
        <w:t>ovo</w:t>
      </w:r>
      <w:proofErr w:type="spellEnd"/>
      <w:r w:rsidRPr="00D2694D">
        <w:rPr>
          <w:rFonts w:ascii="Arial" w:eastAsia="Arial" w:hAnsi="Arial" w:cs="Arial"/>
          <w:color w:val="000000"/>
          <w:sz w:val="20"/>
          <w:szCs w:val="20"/>
        </w:rPr>
        <w:t>, at birth or hatch, at weaning);</w:t>
      </w:r>
    </w:p>
    <w:p w14:paraId="7B93FB47" w14:textId="77777777" w:rsidR="00B70AA6" w:rsidRPr="00D2694D" w:rsidRDefault="00B3325B" w:rsidP="00B70AA6">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As an ongoing management strategy or tool (e.g., in correspondence with: age or weight of animals; time of week, month, or year; or season</w:t>
      </w:r>
      <w:r w:rsidRPr="00D2694D">
        <w:rPr>
          <w:rFonts w:ascii="Arial" w:eastAsia="Arial" w:hAnsi="Arial" w:cs="Arial"/>
          <w:color w:val="000000"/>
          <w:sz w:val="20"/>
          <w:szCs w:val="20"/>
        </w:rPr>
        <w:t>);</w:t>
      </w:r>
    </w:p>
    <w:p w14:paraId="6C24F40E" w14:textId="77777777" w:rsidR="00B70AA6" w:rsidRPr="00D2694D" w:rsidRDefault="00B3325B" w:rsidP="00B70AA6">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When moving animals from one location to another;</w:t>
      </w:r>
    </w:p>
    <w:p w14:paraId="4AAF6078" w14:textId="77777777" w:rsidR="00B70AA6" w:rsidRPr="00D2694D" w:rsidRDefault="00B3325B" w:rsidP="00B70AA6">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When a dairy cow enters a dry cycle.</w:t>
      </w:r>
    </w:p>
    <w:p w14:paraId="65AD0B0F" w14:textId="77777777" w:rsidR="00B70AA6" w:rsidRPr="00D2694D" w:rsidRDefault="00B3325B" w:rsidP="00B70AA6">
      <w:pPr>
        <w:pStyle w:val="ListParagraph"/>
        <w:numPr>
          <w:ilvl w:val="0"/>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A person may not administer a medically important antimicrobial drug to cattle, swine, or poultry solely for the purpose of:</w:t>
      </w:r>
    </w:p>
    <w:p w14:paraId="6B6199A7" w14:textId="77777777" w:rsidR="00B70AA6" w:rsidRPr="00D2694D" w:rsidRDefault="00B3325B" w:rsidP="00B70AA6">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 xml:space="preserve">Promoting weight gain; or </w:t>
      </w:r>
    </w:p>
    <w:p w14:paraId="586E2C95" w14:textId="1E40AB86" w:rsidR="00407567" w:rsidRPr="00D2694D" w:rsidRDefault="00B3325B" w:rsidP="00D2694D">
      <w:pPr>
        <w:pStyle w:val="ListParagraph"/>
        <w:numPr>
          <w:ilvl w:val="1"/>
          <w:numId w:val="12"/>
        </w:numPr>
        <w:pBdr>
          <w:top w:val="nil"/>
          <w:left w:val="nil"/>
          <w:bottom w:val="nil"/>
          <w:right w:val="nil"/>
          <w:between w:val="nil"/>
        </w:pBdr>
        <w:spacing w:after="0"/>
        <w:rPr>
          <w:rFonts w:ascii="Arial" w:eastAsia="Arial" w:hAnsi="Arial" w:cs="Arial"/>
          <w:color w:val="000000"/>
          <w:sz w:val="20"/>
          <w:szCs w:val="20"/>
        </w:rPr>
      </w:pPr>
      <w:r w:rsidRPr="00D2694D">
        <w:rPr>
          <w:rFonts w:ascii="Arial" w:eastAsia="Arial" w:hAnsi="Arial" w:cs="Arial"/>
          <w:color w:val="000000"/>
          <w:sz w:val="20"/>
          <w:szCs w:val="20"/>
        </w:rPr>
        <w:t>Improving feed efficiency.</w:t>
      </w:r>
    </w:p>
    <w:sectPr w:rsidR="00407567" w:rsidRPr="00D2694D">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249E" w14:textId="77777777" w:rsidR="00B3325B" w:rsidRDefault="00B3325B">
      <w:pPr>
        <w:spacing w:after="0" w:line="240" w:lineRule="auto"/>
      </w:pPr>
      <w:r>
        <w:separator/>
      </w:r>
    </w:p>
  </w:endnote>
  <w:endnote w:type="continuationSeparator" w:id="0">
    <w:p w14:paraId="0FF2D5F6" w14:textId="77777777" w:rsidR="00B3325B" w:rsidRDefault="00B3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auto"/>
    <w:pitch w:val="default"/>
  </w:font>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Quattrocento Sans">
    <w:charset w:val="00"/>
    <w:family w:val="auto"/>
    <w:pitch w:val="default"/>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5979" w14:textId="77777777" w:rsidR="00407567" w:rsidRDefault="0040756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53E9" w14:textId="77777777" w:rsidR="00407567" w:rsidRDefault="004075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3E8E" w14:textId="77777777" w:rsidR="00B3325B" w:rsidRDefault="00B3325B">
      <w:pPr>
        <w:spacing w:after="0" w:line="240" w:lineRule="auto"/>
      </w:pPr>
      <w:r>
        <w:separator/>
      </w:r>
    </w:p>
  </w:footnote>
  <w:footnote w:type="continuationSeparator" w:id="0">
    <w:p w14:paraId="05EC1383" w14:textId="77777777" w:rsidR="00B3325B" w:rsidRDefault="00B3325B">
      <w:pPr>
        <w:spacing w:after="0" w:line="240" w:lineRule="auto"/>
      </w:pPr>
      <w:r>
        <w:continuationSeparator/>
      </w:r>
    </w:p>
  </w:footnote>
  <w:footnote w:id="1">
    <w:p w14:paraId="4684B3F6" w14:textId="77777777" w:rsidR="00407567" w:rsidRDefault="00B3325B">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bookmarkStart w:id="2" w:name="_30j0zll" w:colFirst="0" w:colLast="0"/>
      <w:bookmarkEnd w:id="2"/>
      <w:r>
        <w:rPr>
          <w:rFonts w:ascii="Arial" w:eastAsia="Arial" w:hAnsi="Arial" w:cs="Arial"/>
          <w:color w:val="000000"/>
          <w:sz w:val="20"/>
          <w:szCs w:val="20"/>
        </w:rPr>
        <w:t xml:space="preserve"> </w:t>
      </w:r>
      <w:r>
        <w:rPr>
          <w:rFonts w:ascii="Arial" w:eastAsia="Arial" w:hAnsi="Arial" w:cs="Arial"/>
          <w:i/>
          <w:color w:val="000000"/>
          <w:sz w:val="20"/>
          <w:szCs w:val="20"/>
        </w:rPr>
        <w:t>See</w:t>
      </w:r>
      <w:r>
        <w:rPr>
          <w:rFonts w:ascii="Arial" w:eastAsia="Arial" w:hAnsi="Arial" w:cs="Arial"/>
          <w:color w:val="000000"/>
          <w:sz w:val="20"/>
          <w:szCs w:val="20"/>
        </w:rPr>
        <w:t xml:space="preserve"> Iowa State University, Extension and Outreach, Iowa Beef Center, “Feeding CTC to Feedlot Cattle,” available at </w:t>
      </w:r>
      <w:hyperlink r:id="rId1" w:history="1">
        <w:r>
          <w:rPr>
            <w:rFonts w:ascii="Arial" w:eastAsia="Arial" w:hAnsi="Arial" w:cs="Arial"/>
            <w:color w:val="0000FF"/>
            <w:sz w:val="20"/>
            <w:szCs w:val="20"/>
            <w:u w:val="single"/>
          </w:rPr>
          <w:t>https://vetmed.iastate.edu/sites/default/files/VDPAM/Extension/Beef/2017%20CTC%20feedlot%20cattle.pdf</w:t>
        </w:r>
      </w:hyperlink>
      <w:r>
        <w:rPr>
          <w:rFonts w:ascii="Arial" w:eastAsia="Arial" w:hAnsi="Arial" w:cs="Arial"/>
          <w:color w:val="000000"/>
          <w:sz w:val="20"/>
          <w:szCs w:val="20"/>
        </w:rPr>
        <w:t xml:space="preserve"> (explaining that repeated pulse dosing of certain drugs is prohibited by federal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7A2E" w14:textId="77777777" w:rsidR="00407567" w:rsidRDefault="004075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52"/>
    <w:multiLevelType w:val="multilevel"/>
    <w:tmpl w:val="8640C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1E2987"/>
    <w:multiLevelType w:val="multilevel"/>
    <w:tmpl w:val="92DEE1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5156BE2"/>
    <w:multiLevelType w:val="multilevel"/>
    <w:tmpl w:val="1C38ED9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1C0928B8"/>
    <w:multiLevelType w:val="multilevel"/>
    <w:tmpl w:val="CA301D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8D6ABB"/>
    <w:multiLevelType w:val="multilevel"/>
    <w:tmpl w:val="96D4DB5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30055AF1"/>
    <w:multiLevelType w:val="multilevel"/>
    <w:tmpl w:val="4FD65B6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0C20616"/>
    <w:multiLevelType w:val="multilevel"/>
    <w:tmpl w:val="41E4371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44246CD2"/>
    <w:multiLevelType w:val="hybridMultilevel"/>
    <w:tmpl w:val="20B635F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D1AF0"/>
    <w:multiLevelType w:val="multilevel"/>
    <w:tmpl w:val="37B0B9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3BB3B19"/>
    <w:multiLevelType w:val="multilevel"/>
    <w:tmpl w:val="16CAB00C"/>
    <w:lvl w:ilvl="0">
      <w:start w:val="1"/>
      <w:numFmt w:val="upperLetter"/>
      <w:lvlText w:val="%1."/>
      <w:lvlJc w:val="left"/>
      <w:pPr>
        <w:ind w:left="1080" w:hanging="360"/>
      </w:pPr>
      <w:rPr>
        <w:rFonts w:ascii="Arial" w:eastAsia="Arial" w:hAnsi="Arial" w:cs="Arial"/>
      </w:rPr>
    </w:lvl>
    <w:lvl w:ilvl="1">
      <w:start w:val="1"/>
      <w:numFmt w:val="decimal"/>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BDC333A"/>
    <w:multiLevelType w:val="multilevel"/>
    <w:tmpl w:val="ECE00B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F3C0F78"/>
    <w:multiLevelType w:val="multilevel"/>
    <w:tmpl w:val="39BC35D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0"/>
  </w:num>
  <w:num w:numId="3">
    <w:abstractNumId w:val="2"/>
  </w:num>
  <w:num w:numId="4">
    <w:abstractNumId w:val="9"/>
  </w:num>
  <w:num w:numId="5">
    <w:abstractNumId w:val="3"/>
  </w:num>
  <w:num w:numId="6">
    <w:abstractNumId w:val="6"/>
  </w:num>
  <w:num w:numId="7">
    <w:abstractNumId w:val="10"/>
  </w:num>
  <w:num w:numId="8">
    <w:abstractNumId w:val="8"/>
  </w:num>
  <w:num w:numId="9">
    <w:abstractNumId w:val="1"/>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67"/>
    <w:rsid w:val="00366476"/>
    <w:rsid w:val="00407567"/>
    <w:rsid w:val="00440FD0"/>
    <w:rsid w:val="00465E3F"/>
    <w:rsid w:val="00B3325B"/>
    <w:rsid w:val="00B70AA6"/>
    <w:rsid w:val="00D2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0A43"/>
  <w15:docId w15:val="{952B43D7-3178-4B51-BFF3-FC991BD0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720" w:hanging="720"/>
      <w:outlineLvl w:val="0"/>
    </w:pPr>
    <w:rPr>
      <w:b/>
    </w:rPr>
  </w:style>
  <w:style w:type="paragraph" w:styleId="Heading2">
    <w:name w:val="heading 2"/>
    <w:basedOn w:val="Normal"/>
    <w:next w:val="Normal"/>
    <w:uiPriority w:val="9"/>
    <w:semiHidden/>
    <w:unhideWhenUsed/>
    <w:qFormat/>
    <w:pPr>
      <w:keepNext/>
      <w:ind w:left="1440" w:hanging="720"/>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FD0"/>
    <w:rPr>
      <w:rFonts w:ascii="Segoe UI" w:hAnsi="Segoe UI" w:cs="Segoe UI"/>
      <w:sz w:val="18"/>
      <w:szCs w:val="18"/>
    </w:rPr>
  </w:style>
  <w:style w:type="paragraph" w:styleId="ListParagraph">
    <w:name w:val="List Paragraph"/>
    <w:basedOn w:val="Normal"/>
    <w:uiPriority w:val="34"/>
    <w:qFormat/>
    <w:rsid w:val="00B70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vetmed.iastate.edu/sites/default/files/VDPAM/Extension/Beef/2017%20CTC%20feedlot%20catt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Scarr</dc:creator>
  <cp:lastModifiedBy>Emily Scarr</cp:lastModifiedBy>
  <cp:revision>5</cp:revision>
  <dcterms:created xsi:type="dcterms:W3CDTF">2018-08-27T15:45:00Z</dcterms:created>
  <dcterms:modified xsi:type="dcterms:W3CDTF">2018-08-27T18:55:00Z</dcterms:modified>
</cp:coreProperties>
</file>